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55F1F" w:rsidRDefault="00955F1F" w:rsidP="00955F1F">
      <w:pPr>
        <w:pStyle w:val="Heading1"/>
      </w:pPr>
      <w:r>
        <w:t xml:space="preserve">Supplemental Materials: </w:t>
      </w:r>
    </w:p>
    <w:p w:rsidR="00955F1F" w:rsidRDefault="00955F1F" w:rsidP="00955F1F">
      <w:r>
        <w:rPr>
          <w:noProof/>
          <w:lang w:val="en-US"/>
        </w:rPr>
        <w:drawing>
          <wp:inline distT="0" distB="0" distL="0" distR="0" wp14:anchorId="3DE67818" wp14:editId="4D9A11E6">
            <wp:extent cx="5939790" cy="24307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39790" cy="2430780"/>
                    </a:xfrm>
                    <a:prstGeom prst="rect">
                      <a:avLst/>
                    </a:prstGeom>
                    <a:noFill/>
                    <a:ln>
                      <a:noFill/>
                    </a:ln>
                  </pic:spPr>
                </pic:pic>
              </a:graphicData>
            </a:graphic>
          </wp:inline>
        </w:drawing>
      </w:r>
    </w:p>
    <w:p w:rsidR="00955F1F" w:rsidRDefault="00955F1F" w:rsidP="00955F1F">
      <w:r w:rsidRPr="25FC20F4">
        <w:t xml:space="preserve">Supplemental Figure 1: High resolution melting profiles </w:t>
      </w:r>
      <w:r w:rsidRPr="002E2EA1">
        <w:t xml:space="preserve">on selected Cannabis sativa male and not male samples from the </w:t>
      </w:r>
      <w:r>
        <w:t xml:space="preserve">SexID </w:t>
      </w:r>
      <w:r w:rsidRPr="002E2EA1">
        <w:t xml:space="preserve">Steep Hill high throughput testing sample set </w:t>
      </w:r>
      <w:r w:rsidRPr="25FC20F4">
        <w:t xml:space="preserve">of MADC2 primer set showing multiple non-male </w:t>
      </w:r>
      <w:r>
        <w:t xml:space="preserve">melt profile </w:t>
      </w:r>
      <w:r w:rsidRPr="25FC20F4">
        <w:t>genotypes. The samples that are shown in red represent male calls with a Tm melting peak at 82</w:t>
      </w:r>
      <w:r>
        <w:t>˚</w:t>
      </w:r>
      <w:r w:rsidRPr="25FC20F4">
        <w:t>C, whereas the other colors (purple, blue, maroon) represent non-male genotypes with variable target melting peak.</w:t>
      </w:r>
    </w:p>
    <w:p w:rsidR="00955F1F" w:rsidRDefault="00955F1F" w:rsidP="00955F1F"/>
    <w:p w:rsidR="00955F1F" w:rsidRDefault="00955F1F" w:rsidP="00955F1F">
      <w:r>
        <w:t xml:space="preserve">Supplemental Table 1: SexID qPCR Results for 8595 </w:t>
      </w:r>
      <w:r w:rsidRPr="00647C18">
        <w:rPr>
          <w:i/>
          <w:iCs/>
        </w:rPr>
        <w:t>Cannabis</w:t>
      </w:r>
      <w:r>
        <w:t xml:space="preserve"> Samples – This table shows the Cycle quoient values observed for the SexID assay using the MADC2 Fwd + MADC2 Rev + MADC2 Taqman Probe. The sample IDs are representative of the Genkit lots that the samples as they were received. </w:t>
      </w:r>
    </w:p>
    <w:p w:rsidR="00955F1F" w:rsidRDefault="00955F1F" w:rsidP="00955F1F">
      <w:r>
        <w:rPr>
          <w:noProof/>
          <w:lang w:val="en-US"/>
        </w:rPr>
        <w:drawing>
          <wp:anchor distT="0" distB="0" distL="114300" distR="114300" simplePos="0" relativeHeight="251659264" behindDoc="0" locked="0" layoutInCell="1" allowOverlap="1" wp14:anchorId="2AAD94F3" wp14:editId="6037F36F">
            <wp:simplePos x="0" y="0"/>
            <wp:positionH relativeFrom="column">
              <wp:posOffset>0</wp:posOffset>
            </wp:positionH>
            <wp:positionV relativeFrom="paragraph">
              <wp:posOffset>-3175</wp:posOffset>
            </wp:positionV>
            <wp:extent cx="3855720" cy="3304540"/>
            <wp:effectExtent l="0" t="0" r="0" b="0"/>
            <wp:wrapSquare wrapText="bothSides"/>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6" cstate="print">
                      <a:extLst>
                        <a:ext uri="{28A0092B-C50C-407E-A947-70E740481C1C}">
                          <a14:useLocalDpi xmlns:a14="http://schemas.microsoft.com/office/drawing/2010/main" val="0"/>
                        </a:ext>
                      </a:extLst>
                    </a:blip>
                    <a:srcRect/>
                    <a:stretch>
                      <a:fillRect/>
                    </a:stretch>
                  </pic:blipFill>
                  <pic:spPr>
                    <a:xfrm>
                      <a:off x="0" y="0"/>
                      <a:ext cx="3855720" cy="3304540"/>
                    </a:xfrm>
                    <a:prstGeom prst="rect">
                      <a:avLst/>
                    </a:prstGeom>
                    <a:ln/>
                  </pic:spPr>
                </pic:pic>
              </a:graphicData>
            </a:graphic>
          </wp:anchor>
        </w:drawing>
      </w:r>
    </w:p>
    <w:p w:rsidR="00955F1F" w:rsidRDefault="00955F1F" w:rsidP="00955F1F">
      <w:r>
        <w:t>Supplemental Figure 2: High resolution melting profiles of a region upstream of MADC2. This analysis was performed using primers designated, -403 Fwd and -237 Rev, which target an upstream region of MADC2 on the proposed Y-</w:t>
      </w:r>
      <w:r>
        <w:lastRenderedPageBreak/>
        <w:t xml:space="preserve">chromosome. Curves with an inflection point at 78˚C are indicative of a male genotype, and the other curves present represent the various non-male genotypes of the homologous region. </w:t>
      </w:r>
    </w:p>
    <w:p w:rsidR="00955F1F" w:rsidRDefault="00955F1F" w:rsidP="00955F1F"/>
    <w:p w:rsidR="00955F1F" w:rsidRDefault="00955F1F" w:rsidP="00955F1F">
      <w:pPr>
        <w:rPr>
          <w:highlight w:val="yellow"/>
        </w:rPr>
      </w:pPr>
      <w:r>
        <w:rPr>
          <w:noProof/>
          <w:lang w:val="en-US"/>
        </w:rPr>
        <w:drawing>
          <wp:inline distT="0" distB="0" distL="0" distR="0" wp14:anchorId="5D82DC43" wp14:editId="0048E89C">
            <wp:extent cx="5939792" cy="1946910"/>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7">
                      <a:extLst>
                        <a:ext uri="{28A0092B-C50C-407E-A947-70E740481C1C}">
                          <a14:useLocalDpi xmlns:a14="http://schemas.microsoft.com/office/drawing/2010/main" val="0"/>
                        </a:ext>
                      </a:extLst>
                    </a:blip>
                    <a:stretch>
                      <a:fillRect/>
                    </a:stretch>
                  </pic:blipFill>
                  <pic:spPr>
                    <a:xfrm>
                      <a:off x="0" y="0"/>
                      <a:ext cx="5939792" cy="1946910"/>
                    </a:xfrm>
                    <a:prstGeom prst="rect">
                      <a:avLst/>
                    </a:prstGeom>
                  </pic:spPr>
                </pic:pic>
              </a:graphicData>
            </a:graphic>
          </wp:inline>
        </w:drawing>
      </w:r>
      <w:r>
        <w:t xml:space="preserve">Supplemental Figure 3: Genomic Scaffold and Amplicon Alignment on JL_Father’s Y-Chromosome. The above alignment shows the location of where the MADC2 region lies on a 1Mbp region of the JL_Father’s Y-chromosome scaffold. The highlighted region near 523Mbp shows the MADC2 probe binding site and the black bar represents the amplicon region.  </w:t>
      </w:r>
      <w:r>
        <w:rPr>
          <w:noProof/>
          <w:lang w:val="en-US"/>
        </w:rPr>
        <w:drawing>
          <wp:inline distT="0" distB="0" distL="0" distR="0" wp14:anchorId="08105C3A" wp14:editId="76AECF58">
            <wp:extent cx="5935978" cy="2510790"/>
            <wp:effectExtent l="0" t="0" r="762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8">
                      <a:extLst>
                        <a:ext uri="{28A0092B-C50C-407E-A947-70E740481C1C}">
                          <a14:useLocalDpi xmlns:a14="http://schemas.microsoft.com/office/drawing/2010/main" val="0"/>
                        </a:ext>
                      </a:extLst>
                    </a:blip>
                    <a:stretch>
                      <a:fillRect/>
                    </a:stretch>
                  </pic:blipFill>
                  <pic:spPr>
                    <a:xfrm>
                      <a:off x="0" y="0"/>
                      <a:ext cx="5935978" cy="2510790"/>
                    </a:xfrm>
                    <a:prstGeom prst="rect">
                      <a:avLst/>
                    </a:prstGeom>
                  </pic:spPr>
                </pic:pic>
              </a:graphicData>
            </a:graphic>
          </wp:inline>
        </w:drawing>
      </w:r>
      <w:r>
        <w:t xml:space="preserve">Supplemental Figure 4: Alignment of 42 male amplicon sequences to the MADC2 genomic region in the JL_Father genome that shows a high conservation between male genotypes of diverse drug-type and fiber-type cultivars. The highlighted region represents the probe binding site that is also conserved between all the genotypes. </w:t>
      </w:r>
      <w:r w:rsidRPr="008B1B70">
        <w:t>011623 contig from PBBK aligned to 1Mbp Y_000295F contig from JL father with TaqMan probe highlighted 2) MADC2 aligned to Y contig from Jamaican Lion Father with TaqMan probe highlighted</w:t>
      </w:r>
    </w:p>
    <w:p w:rsidR="00955F1F" w:rsidRDefault="00955F1F" w:rsidP="00955F1F">
      <w:r>
        <w:lastRenderedPageBreak/>
        <w:t xml:space="preserve"> examined. </w:t>
      </w:r>
    </w:p>
    <w:p w:rsidR="00955F1F" w:rsidRDefault="00955F1F" w:rsidP="00955F1F">
      <w:r>
        <w:rPr>
          <w:noProof/>
          <w:lang w:val="en-US"/>
        </w:rPr>
        <w:drawing>
          <wp:inline distT="0" distB="0" distL="0" distR="0" wp14:anchorId="2B556CFB" wp14:editId="074293B5">
            <wp:extent cx="2385060" cy="1493520"/>
            <wp:effectExtent l="0" t="0" r="0" b="0"/>
            <wp:docPr id="2" name="image4.png" descr="A picture containing tex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4.png"/>
                    <pic:cNvPicPr/>
                  </pic:nvPicPr>
                  <pic:blipFill rotWithShape="1">
                    <a:blip r:embed="rId9" cstate="print">
                      <a:extLst>
                        <a:ext uri="{28A0092B-C50C-407E-A947-70E740481C1C}">
                          <a14:useLocalDpi xmlns:a14="http://schemas.microsoft.com/office/drawing/2010/main" val="0"/>
                        </a:ext>
                      </a:extLst>
                    </a:blip>
                    <a:srcRect b="43840"/>
                    <a:stretch/>
                  </pic:blipFill>
                  <pic:spPr bwMode="auto">
                    <a:xfrm>
                      <a:off x="0" y="0"/>
                      <a:ext cx="2385060" cy="1493520"/>
                    </a:xfrm>
                    <a:prstGeom prst="rect">
                      <a:avLst/>
                    </a:prstGeom>
                    <a:ln>
                      <a:noFill/>
                    </a:ln>
                    <a:extLst>
                      <a:ext uri="{53640926-AAD7-44D8-BBD7-CCE9431645EC}">
                        <a14:shadowObscured xmlns:a14="http://schemas.microsoft.com/office/drawing/2010/main"/>
                      </a:ext>
                    </a:extLst>
                  </pic:spPr>
                </pic:pic>
              </a:graphicData>
            </a:graphic>
          </wp:inline>
        </w:drawing>
      </w:r>
      <w:r>
        <w:rPr>
          <w:noProof/>
          <w:lang w:val="en-US"/>
        </w:rPr>
        <w:drawing>
          <wp:inline distT="0" distB="0" distL="0" distR="0" wp14:anchorId="202934E9" wp14:editId="67DFA449">
            <wp:extent cx="2788920" cy="1455420"/>
            <wp:effectExtent l="0" t="0" r="0" b="0"/>
            <wp:docPr id="4" name="image4.png" descr="A picture containing tex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4.png"/>
                    <pic:cNvPicPr/>
                  </pic:nvPicPr>
                  <pic:blipFill rotWithShape="1">
                    <a:blip r:embed="rId10" cstate="print">
                      <a:extLst>
                        <a:ext uri="{28A0092B-C50C-407E-A947-70E740481C1C}">
                          <a14:useLocalDpi xmlns:a14="http://schemas.microsoft.com/office/drawing/2010/main" val="0"/>
                        </a:ext>
                      </a:extLst>
                    </a:blip>
                    <a:srcRect t="56160"/>
                    <a:stretch/>
                  </pic:blipFill>
                  <pic:spPr bwMode="auto">
                    <a:xfrm>
                      <a:off x="0" y="0"/>
                      <a:ext cx="2788920" cy="1455420"/>
                    </a:xfrm>
                    <a:prstGeom prst="rect">
                      <a:avLst/>
                    </a:prstGeom>
                    <a:ln>
                      <a:noFill/>
                    </a:ln>
                    <a:extLst>
                      <a:ext uri="{53640926-AAD7-44D8-BBD7-CCE9431645EC}">
                        <a14:shadowObscured xmlns:a14="http://schemas.microsoft.com/office/drawing/2010/main"/>
                      </a:ext>
                    </a:extLst>
                  </pic:spPr>
                </pic:pic>
              </a:graphicData>
            </a:graphic>
          </wp:inline>
        </w:drawing>
      </w:r>
    </w:p>
    <w:p w:rsidR="00955F1F" w:rsidRDefault="00955F1F" w:rsidP="00955F1F">
      <w:pPr>
        <w:pStyle w:val="Heading3"/>
      </w:pPr>
      <w:r>
        <w:t>Supplemental Figure 5:</w:t>
      </w:r>
    </w:p>
    <w:p w:rsidR="00955F1F" w:rsidRDefault="00955F1F" w:rsidP="00955F1F">
      <w:r>
        <w:t xml:space="preserve"> Supplemental Fig. 5A. Preliminary Analysis of Loop mediated Isothermal PCR for Male (yellow) and not Male (Pink) identification. B. Twist Dx Assay of Male and Not Male DNA samples.</w:t>
      </w:r>
    </w:p>
    <w:p w:rsidR="00955F1F" w:rsidRDefault="00955F1F" w:rsidP="00955F1F"/>
    <w:tbl>
      <w:tblPr>
        <w:tblStyle w:val="TableGrid"/>
        <w:tblW w:w="0" w:type="auto"/>
        <w:jc w:val="center"/>
        <w:tblLayout w:type="fixed"/>
        <w:tblLook w:val="06A0" w:firstRow="1" w:lastRow="0" w:firstColumn="1" w:lastColumn="0" w:noHBand="1" w:noVBand="1"/>
      </w:tblPr>
      <w:tblGrid>
        <w:gridCol w:w="1337"/>
        <w:gridCol w:w="1337"/>
        <w:gridCol w:w="1337"/>
        <w:gridCol w:w="1337"/>
        <w:gridCol w:w="1337"/>
        <w:gridCol w:w="1337"/>
        <w:gridCol w:w="1337"/>
      </w:tblGrid>
      <w:tr w:rsidR="00955F1F" w:rsidTr="00E239BC">
        <w:trPr>
          <w:jc w:val="center"/>
        </w:trPr>
        <w:tc>
          <w:tcPr>
            <w:tcW w:w="1337" w:type="dxa"/>
          </w:tcPr>
          <w:p w:rsidR="00955F1F" w:rsidRPr="00411513" w:rsidRDefault="00955F1F" w:rsidP="00E239BC">
            <w:pPr>
              <w:rPr>
                <w:sz w:val="18"/>
                <w:szCs w:val="18"/>
              </w:rPr>
            </w:pPr>
            <w:r w:rsidRPr="00411513">
              <w:rPr>
                <w:sz w:val="18"/>
                <w:szCs w:val="18"/>
              </w:rPr>
              <w:t>HRM Group Color</w:t>
            </w:r>
          </w:p>
        </w:tc>
        <w:tc>
          <w:tcPr>
            <w:tcW w:w="1337" w:type="dxa"/>
          </w:tcPr>
          <w:tbl>
            <w:tblPr>
              <w:tblStyle w:val="TableGrid"/>
              <w:tblW w:w="0" w:type="auto"/>
              <w:tblLayout w:type="fixed"/>
              <w:tblLook w:val="06A0" w:firstRow="1" w:lastRow="0" w:firstColumn="1" w:lastColumn="0" w:noHBand="1" w:noVBand="1"/>
            </w:tblPr>
            <w:tblGrid>
              <w:gridCol w:w="1005"/>
            </w:tblGrid>
            <w:tr w:rsidR="00955F1F" w:rsidTr="00E239BC">
              <w:trPr>
                <w:trHeight w:val="285"/>
              </w:trPr>
              <w:tc>
                <w:tcPr>
                  <w:tcW w:w="1005" w:type="dxa"/>
                  <w:tcBorders>
                    <w:top w:val="nil"/>
                    <w:left w:val="nil"/>
                    <w:bottom w:val="nil"/>
                    <w:right w:val="nil"/>
                  </w:tcBorders>
                  <w:vAlign w:val="bottom"/>
                </w:tcPr>
                <w:p w:rsidR="00955F1F" w:rsidRPr="00411513" w:rsidRDefault="00955F1F" w:rsidP="00E239BC">
                  <w:pPr>
                    <w:rPr>
                      <w:color w:val="000000" w:themeColor="text1"/>
                      <w:sz w:val="18"/>
                      <w:szCs w:val="18"/>
                    </w:rPr>
                  </w:pPr>
                  <w:r w:rsidRPr="00411513">
                    <w:rPr>
                      <w:color w:val="000000" w:themeColor="text1"/>
                      <w:sz w:val="18"/>
                      <w:szCs w:val="18"/>
                    </w:rPr>
                    <w:t>16744448</w:t>
                  </w:r>
                </w:p>
              </w:tc>
            </w:tr>
          </w:tbl>
          <w:p w:rsidR="00955F1F" w:rsidRPr="00411513" w:rsidRDefault="00955F1F" w:rsidP="00E239BC">
            <w:pPr>
              <w:rPr>
                <w:sz w:val="18"/>
                <w:szCs w:val="18"/>
              </w:rPr>
            </w:pPr>
          </w:p>
        </w:tc>
        <w:tc>
          <w:tcPr>
            <w:tcW w:w="1337" w:type="dxa"/>
          </w:tcPr>
          <w:tbl>
            <w:tblPr>
              <w:tblStyle w:val="TableGrid"/>
              <w:tblW w:w="0" w:type="auto"/>
              <w:tblLayout w:type="fixed"/>
              <w:tblLook w:val="06A0" w:firstRow="1" w:lastRow="0" w:firstColumn="1" w:lastColumn="0" w:noHBand="1" w:noVBand="1"/>
            </w:tblPr>
            <w:tblGrid>
              <w:gridCol w:w="1005"/>
            </w:tblGrid>
            <w:tr w:rsidR="00955F1F" w:rsidTr="00E239BC">
              <w:trPr>
                <w:trHeight w:val="285"/>
              </w:trPr>
              <w:tc>
                <w:tcPr>
                  <w:tcW w:w="1005" w:type="dxa"/>
                  <w:tcBorders>
                    <w:top w:val="nil"/>
                    <w:left w:val="nil"/>
                    <w:bottom w:val="nil"/>
                    <w:right w:val="nil"/>
                  </w:tcBorders>
                  <w:vAlign w:val="bottom"/>
                </w:tcPr>
                <w:p w:rsidR="00955F1F" w:rsidRPr="00411513" w:rsidRDefault="00955F1F" w:rsidP="00E239BC">
                  <w:pPr>
                    <w:rPr>
                      <w:color w:val="000000" w:themeColor="text1"/>
                      <w:sz w:val="18"/>
                      <w:szCs w:val="18"/>
                    </w:rPr>
                  </w:pPr>
                  <w:r w:rsidRPr="00411513">
                    <w:rPr>
                      <w:color w:val="000000" w:themeColor="text1"/>
                      <w:sz w:val="18"/>
                      <w:szCs w:val="18"/>
                    </w:rPr>
                    <w:t>255</w:t>
                  </w:r>
                </w:p>
              </w:tc>
            </w:tr>
          </w:tbl>
          <w:p w:rsidR="00955F1F" w:rsidRPr="00411513" w:rsidRDefault="00955F1F" w:rsidP="00E239BC">
            <w:pPr>
              <w:rPr>
                <w:sz w:val="18"/>
                <w:szCs w:val="18"/>
              </w:rPr>
            </w:pPr>
          </w:p>
        </w:tc>
        <w:tc>
          <w:tcPr>
            <w:tcW w:w="1337" w:type="dxa"/>
          </w:tcPr>
          <w:tbl>
            <w:tblPr>
              <w:tblStyle w:val="TableGrid"/>
              <w:tblW w:w="0" w:type="auto"/>
              <w:tblLayout w:type="fixed"/>
              <w:tblLook w:val="06A0" w:firstRow="1" w:lastRow="0" w:firstColumn="1" w:lastColumn="0" w:noHBand="1" w:noVBand="1"/>
            </w:tblPr>
            <w:tblGrid>
              <w:gridCol w:w="1005"/>
            </w:tblGrid>
            <w:tr w:rsidR="00955F1F" w:rsidTr="00E239BC">
              <w:trPr>
                <w:trHeight w:val="285"/>
              </w:trPr>
              <w:tc>
                <w:tcPr>
                  <w:tcW w:w="1005" w:type="dxa"/>
                  <w:tcBorders>
                    <w:top w:val="nil"/>
                    <w:left w:val="nil"/>
                    <w:bottom w:val="nil"/>
                    <w:right w:val="nil"/>
                  </w:tcBorders>
                  <w:vAlign w:val="bottom"/>
                </w:tcPr>
                <w:p w:rsidR="00955F1F" w:rsidRPr="00411513" w:rsidRDefault="00955F1F" w:rsidP="00E239BC">
                  <w:pPr>
                    <w:rPr>
                      <w:color w:val="000000" w:themeColor="text1"/>
                      <w:sz w:val="18"/>
                      <w:szCs w:val="18"/>
                    </w:rPr>
                  </w:pPr>
                  <w:r w:rsidRPr="00411513">
                    <w:rPr>
                      <w:color w:val="000000" w:themeColor="text1"/>
                      <w:sz w:val="18"/>
                      <w:szCs w:val="18"/>
                    </w:rPr>
                    <w:t>3200768</w:t>
                  </w:r>
                </w:p>
              </w:tc>
            </w:tr>
          </w:tbl>
          <w:p w:rsidR="00955F1F" w:rsidRPr="00411513" w:rsidRDefault="00955F1F" w:rsidP="00E239BC">
            <w:pPr>
              <w:rPr>
                <w:sz w:val="18"/>
                <w:szCs w:val="18"/>
              </w:rPr>
            </w:pPr>
          </w:p>
        </w:tc>
        <w:tc>
          <w:tcPr>
            <w:tcW w:w="1337" w:type="dxa"/>
          </w:tcPr>
          <w:tbl>
            <w:tblPr>
              <w:tblStyle w:val="TableGrid"/>
              <w:tblW w:w="0" w:type="auto"/>
              <w:tblLayout w:type="fixed"/>
              <w:tblLook w:val="06A0" w:firstRow="1" w:lastRow="0" w:firstColumn="1" w:lastColumn="0" w:noHBand="1" w:noVBand="1"/>
            </w:tblPr>
            <w:tblGrid>
              <w:gridCol w:w="1005"/>
            </w:tblGrid>
            <w:tr w:rsidR="00955F1F" w:rsidTr="00E239BC">
              <w:trPr>
                <w:trHeight w:val="285"/>
              </w:trPr>
              <w:tc>
                <w:tcPr>
                  <w:tcW w:w="1005" w:type="dxa"/>
                  <w:tcBorders>
                    <w:top w:val="nil"/>
                    <w:left w:val="nil"/>
                    <w:bottom w:val="nil"/>
                    <w:right w:val="nil"/>
                  </w:tcBorders>
                  <w:vAlign w:val="bottom"/>
                </w:tcPr>
                <w:p w:rsidR="00955F1F" w:rsidRPr="00411513" w:rsidRDefault="00955F1F" w:rsidP="00E239BC">
                  <w:pPr>
                    <w:rPr>
                      <w:color w:val="000000" w:themeColor="text1"/>
                      <w:sz w:val="18"/>
                      <w:szCs w:val="18"/>
                    </w:rPr>
                  </w:pPr>
                  <w:r w:rsidRPr="00411513">
                    <w:rPr>
                      <w:color w:val="000000" w:themeColor="text1"/>
                      <w:sz w:val="18"/>
                      <w:szCs w:val="18"/>
                    </w:rPr>
                    <w:t>16711935</w:t>
                  </w:r>
                </w:p>
              </w:tc>
            </w:tr>
          </w:tbl>
          <w:p w:rsidR="00955F1F" w:rsidRPr="00411513" w:rsidRDefault="00955F1F" w:rsidP="00E239BC">
            <w:pPr>
              <w:rPr>
                <w:sz w:val="18"/>
                <w:szCs w:val="18"/>
              </w:rPr>
            </w:pPr>
          </w:p>
        </w:tc>
        <w:tc>
          <w:tcPr>
            <w:tcW w:w="1337" w:type="dxa"/>
          </w:tcPr>
          <w:tbl>
            <w:tblPr>
              <w:tblStyle w:val="TableGrid"/>
              <w:tblW w:w="0" w:type="auto"/>
              <w:tblLayout w:type="fixed"/>
              <w:tblLook w:val="06A0" w:firstRow="1" w:lastRow="0" w:firstColumn="1" w:lastColumn="0" w:noHBand="1" w:noVBand="1"/>
            </w:tblPr>
            <w:tblGrid>
              <w:gridCol w:w="1005"/>
            </w:tblGrid>
            <w:tr w:rsidR="00955F1F" w:rsidTr="00E239BC">
              <w:trPr>
                <w:trHeight w:val="285"/>
              </w:trPr>
              <w:tc>
                <w:tcPr>
                  <w:tcW w:w="1005" w:type="dxa"/>
                  <w:tcBorders>
                    <w:top w:val="nil"/>
                    <w:left w:val="nil"/>
                    <w:bottom w:val="nil"/>
                    <w:right w:val="nil"/>
                  </w:tcBorders>
                  <w:vAlign w:val="bottom"/>
                </w:tcPr>
                <w:p w:rsidR="00955F1F" w:rsidRPr="00411513" w:rsidRDefault="00955F1F" w:rsidP="00E239BC">
                  <w:pPr>
                    <w:rPr>
                      <w:color w:val="000000" w:themeColor="text1"/>
                      <w:sz w:val="18"/>
                      <w:szCs w:val="18"/>
                    </w:rPr>
                  </w:pPr>
                  <w:r w:rsidRPr="00411513">
                    <w:rPr>
                      <w:color w:val="000000" w:themeColor="text1"/>
                      <w:sz w:val="18"/>
                      <w:szCs w:val="18"/>
                    </w:rPr>
                    <w:t>8421504</w:t>
                  </w:r>
                </w:p>
              </w:tc>
            </w:tr>
          </w:tbl>
          <w:p w:rsidR="00955F1F" w:rsidRPr="00411513" w:rsidRDefault="00955F1F" w:rsidP="00E239BC">
            <w:pPr>
              <w:rPr>
                <w:sz w:val="18"/>
                <w:szCs w:val="18"/>
              </w:rPr>
            </w:pPr>
          </w:p>
        </w:tc>
        <w:tc>
          <w:tcPr>
            <w:tcW w:w="1337" w:type="dxa"/>
          </w:tcPr>
          <w:tbl>
            <w:tblPr>
              <w:tblStyle w:val="TableGrid"/>
              <w:tblW w:w="0" w:type="auto"/>
              <w:tblLayout w:type="fixed"/>
              <w:tblLook w:val="06A0" w:firstRow="1" w:lastRow="0" w:firstColumn="1" w:lastColumn="0" w:noHBand="1" w:noVBand="1"/>
            </w:tblPr>
            <w:tblGrid>
              <w:gridCol w:w="1005"/>
            </w:tblGrid>
            <w:tr w:rsidR="00955F1F" w:rsidTr="00E239BC">
              <w:trPr>
                <w:trHeight w:val="285"/>
              </w:trPr>
              <w:tc>
                <w:tcPr>
                  <w:tcW w:w="1005" w:type="dxa"/>
                  <w:tcBorders>
                    <w:top w:val="nil"/>
                    <w:left w:val="nil"/>
                    <w:bottom w:val="nil"/>
                    <w:right w:val="nil"/>
                  </w:tcBorders>
                  <w:vAlign w:val="bottom"/>
                </w:tcPr>
                <w:p w:rsidR="00955F1F" w:rsidRPr="00411513" w:rsidRDefault="00955F1F" w:rsidP="00E239BC">
                  <w:pPr>
                    <w:rPr>
                      <w:color w:val="000000" w:themeColor="text1"/>
                      <w:sz w:val="18"/>
                      <w:szCs w:val="18"/>
                    </w:rPr>
                  </w:pPr>
                  <w:r w:rsidRPr="00411513">
                    <w:rPr>
                      <w:color w:val="000000" w:themeColor="text1"/>
                      <w:sz w:val="18"/>
                      <w:szCs w:val="18"/>
                    </w:rPr>
                    <w:t>1234938</w:t>
                  </w:r>
                </w:p>
              </w:tc>
            </w:tr>
          </w:tbl>
          <w:p w:rsidR="00955F1F" w:rsidRPr="00411513" w:rsidRDefault="00955F1F" w:rsidP="00E239BC">
            <w:pPr>
              <w:rPr>
                <w:sz w:val="18"/>
                <w:szCs w:val="18"/>
              </w:rPr>
            </w:pPr>
          </w:p>
        </w:tc>
      </w:tr>
      <w:tr w:rsidR="00955F1F" w:rsidTr="00E239BC">
        <w:trPr>
          <w:jc w:val="center"/>
        </w:trPr>
        <w:tc>
          <w:tcPr>
            <w:tcW w:w="1337" w:type="dxa"/>
          </w:tcPr>
          <w:p w:rsidR="00955F1F" w:rsidRDefault="00955F1F" w:rsidP="00E239BC">
            <w:r w:rsidRPr="6C62B1A1">
              <w:t xml:space="preserve">HRM Group </w:t>
            </w:r>
            <w:r w:rsidRPr="6DF0A12A">
              <w:t>Number</w:t>
            </w:r>
          </w:p>
        </w:tc>
        <w:tc>
          <w:tcPr>
            <w:tcW w:w="1337" w:type="dxa"/>
          </w:tcPr>
          <w:p w:rsidR="00955F1F" w:rsidRDefault="00955F1F" w:rsidP="00E239BC">
            <w:r w:rsidRPr="6DF0A12A">
              <w:t>1</w:t>
            </w:r>
          </w:p>
        </w:tc>
        <w:tc>
          <w:tcPr>
            <w:tcW w:w="1337" w:type="dxa"/>
          </w:tcPr>
          <w:p w:rsidR="00955F1F" w:rsidRDefault="00955F1F" w:rsidP="00E239BC">
            <w:r w:rsidRPr="6DF0A12A">
              <w:t>2</w:t>
            </w:r>
          </w:p>
        </w:tc>
        <w:tc>
          <w:tcPr>
            <w:tcW w:w="1337" w:type="dxa"/>
          </w:tcPr>
          <w:p w:rsidR="00955F1F" w:rsidRDefault="00955F1F" w:rsidP="00E239BC">
            <w:r w:rsidRPr="6DF0A12A">
              <w:t>3</w:t>
            </w:r>
          </w:p>
        </w:tc>
        <w:tc>
          <w:tcPr>
            <w:tcW w:w="1337" w:type="dxa"/>
          </w:tcPr>
          <w:p w:rsidR="00955F1F" w:rsidRDefault="00955F1F" w:rsidP="00E239BC">
            <w:r w:rsidRPr="6DF0A12A">
              <w:t>4</w:t>
            </w:r>
          </w:p>
        </w:tc>
        <w:tc>
          <w:tcPr>
            <w:tcW w:w="1337" w:type="dxa"/>
          </w:tcPr>
          <w:p w:rsidR="00955F1F" w:rsidRDefault="00955F1F" w:rsidP="00E239BC">
            <w:r w:rsidRPr="2E2DAB11">
              <w:t>5</w:t>
            </w:r>
          </w:p>
        </w:tc>
        <w:tc>
          <w:tcPr>
            <w:tcW w:w="1337" w:type="dxa"/>
          </w:tcPr>
          <w:p w:rsidR="00955F1F" w:rsidRDefault="00955F1F" w:rsidP="00E239BC">
            <w:r w:rsidRPr="2E2DAB11">
              <w:t>6</w:t>
            </w:r>
          </w:p>
        </w:tc>
      </w:tr>
      <w:tr w:rsidR="00955F1F" w:rsidTr="00E239BC">
        <w:trPr>
          <w:jc w:val="center"/>
        </w:trPr>
        <w:tc>
          <w:tcPr>
            <w:tcW w:w="1337" w:type="dxa"/>
          </w:tcPr>
          <w:p w:rsidR="00955F1F" w:rsidRDefault="00955F1F" w:rsidP="00E239BC">
            <w:r w:rsidRPr="2E2DAB11">
              <w:t>n</w:t>
            </w:r>
          </w:p>
        </w:tc>
        <w:tc>
          <w:tcPr>
            <w:tcW w:w="1337" w:type="dxa"/>
          </w:tcPr>
          <w:p w:rsidR="00955F1F" w:rsidRDefault="00955F1F" w:rsidP="00E239BC">
            <w:r w:rsidRPr="2E2DAB11">
              <w:t>71</w:t>
            </w:r>
          </w:p>
        </w:tc>
        <w:tc>
          <w:tcPr>
            <w:tcW w:w="1337" w:type="dxa"/>
          </w:tcPr>
          <w:p w:rsidR="00955F1F" w:rsidRDefault="00955F1F" w:rsidP="00E239BC">
            <w:r w:rsidRPr="2E2DAB11">
              <w:t>4</w:t>
            </w:r>
          </w:p>
        </w:tc>
        <w:tc>
          <w:tcPr>
            <w:tcW w:w="1337" w:type="dxa"/>
          </w:tcPr>
          <w:p w:rsidR="00955F1F" w:rsidRDefault="00955F1F" w:rsidP="00E239BC">
            <w:r w:rsidRPr="73FC01E6">
              <w:t>78</w:t>
            </w:r>
          </w:p>
        </w:tc>
        <w:tc>
          <w:tcPr>
            <w:tcW w:w="1337" w:type="dxa"/>
          </w:tcPr>
          <w:p w:rsidR="00955F1F" w:rsidRDefault="00955F1F" w:rsidP="00E239BC">
            <w:r w:rsidRPr="73FC01E6">
              <w:t>2</w:t>
            </w:r>
          </w:p>
        </w:tc>
        <w:tc>
          <w:tcPr>
            <w:tcW w:w="1337" w:type="dxa"/>
          </w:tcPr>
          <w:p w:rsidR="00955F1F" w:rsidRDefault="00955F1F" w:rsidP="00E239BC">
            <w:r w:rsidRPr="73FC01E6">
              <w:t>1</w:t>
            </w:r>
          </w:p>
        </w:tc>
        <w:tc>
          <w:tcPr>
            <w:tcW w:w="1337" w:type="dxa"/>
          </w:tcPr>
          <w:p w:rsidR="00955F1F" w:rsidRDefault="00955F1F" w:rsidP="00E239BC">
            <w:r w:rsidRPr="73FC01E6">
              <w:t>1</w:t>
            </w:r>
          </w:p>
        </w:tc>
      </w:tr>
      <w:tr w:rsidR="00955F1F" w:rsidTr="00E239BC">
        <w:trPr>
          <w:jc w:val="center"/>
        </w:trPr>
        <w:tc>
          <w:tcPr>
            <w:tcW w:w="1337" w:type="dxa"/>
          </w:tcPr>
          <w:p w:rsidR="00955F1F" w:rsidRDefault="00955F1F" w:rsidP="00E239BC">
            <w:r w:rsidRPr="79943F41">
              <w:t>Sex</w:t>
            </w:r>
          </w:p>
        </w:tc>
        <w:tc>
          <w:tcPr>
            <w:tcW w:w="1337" w:type="dxa"/>
          </w:tcPr>
          <w:p w:rsidR="00955F1F" w:rsidRDefault="00955F1F" w:rsidP="00E239BC">
            <w:r w:rsidRPr="79943F41">
              <w:t>Male</w:t>
            </w:r>
          </w:p>
        </w:tc>
        <w:tc>
          <w:tcPr>
            <w:tcW w:w="1337" w:type="dxa"/>
          </w:tcPr>
          <w:p w:rsidR="00955F1F" w:rsidRDefault="00955F1F" w:rsidP="00E239BC">
            <w:r>
              <w:t>Non</w:t>
            </w:r>
            <w:r w:rsidRPr="79943F41">
              <w:t>-</w:t>
            </w:r>
            <w:r w:rsidRPr="57B25DDA">
              <w:t>Male</w:t>
            </w:r>
          </w:p>
        </w:tc>
        <w:tc>
          <w:tcPr>
            <w:tcW w:w="1337" w:type="dxa"/>
          </w:tcPr>
          <w:p w:rsidR="00955F1F" w:rsidRDefault="00955F1F" w:rsidP="00E239BC">
            <w:r>
              <w:t>Non</w:t>
            </w:r>
            <w:r w:rsidRPr="57B25DDA">
              <w:t>-Male</w:t>
            </w:r>
          </w:p>
        </w:tc>
        <w:tc>
          <w:tcPr>
            <w:tcW w:w="1337" w:type="dxa"/>
          </w:tcPr>
          <w:p w:rsidR="00955F1F" w:rsidRDefault="00955F1F" w:rsidP="00E239BC">
            <w:r>
              <w:t>Non</w:t>
            </w:r>
            <w:r w:rsidRPr="57B25DDA">
              <w:t>-Male</w:t>
            </w:r>
          </w:p>
        </w:tc>
        <w:tc>
          <w:tcPr>
            <w:tcW w:w="1337" w:type="dxa"/>
          </w:tcPr>
          <w:p w:rsidR="00955F1F" w:rsidRDefault="00955F1F" w:rsidP="00E239BC">
            <w:r>
              <w:t>Non</w:t>
            </w:r>
            <w:r w:rsidRPr="57B25DDA">
              <w:t>-Male</w:t>
            </w:r>
          </w:p>
        </w:tc>
        <w:tc>
          <w:tcPr>
            <w:tcW w:w="1337" w:type="dxa"/>
          </w:tcPr>
          <w:p w:rsidR="00955F1F" w:rsidRDefault="00955F1F" w:rsidP="00E239BC">
            <w:r>
              <w:t>Non</w:t>
            </w:r>
            <w:r w:rsidRPr="57B25DDA">
              <w:t>-Male</w:t>
            </w:r>
          </w:p>
        </w:tc>
      </w:tr>
    </w:tbl>
    <w:p w:rsidR="00955F1F" w:rsidRDefault="00955F1F" w:rsidP="00955F1F">
      <w:r>
        <w:t>Supplemental Table 2: Results of 158 European Cultivars tested by HRM using the MADC2 primers. 71 out of 158 or 45% of the population was measured with the melting peak at 82˚C indicative of the male MADC2 genotype, and variable target melting peaks were observed for the remaining 186 test samples indicative of a not-male MADC2 genotype.</w:t>
      </w:r>
    </w:p>
    <w:p w:rsidR="00955F1F" w:rsidRDefault="00955F1F" w:rsidP="00955F1F"/>
    <w:p w:rsidR="00955F1F" w:rsidRDefault="00955F1F" w:rsidP="00955F1F"/>
    <w:p w:rsidR="00955F1F" w:rsidRDefault="00955F1F" w:rsidP="00955F1F">
      <w:pPr>
        <w:pStyle w:val="Heading3"/>
      </w:pPr>
    </w:p>
    <w:tbl>
      <w:tblPr>
        <w:tblStyle w:val="TableGrid"/>
        <w:tblW w:w="0" w:type="auto"/>
        <w:tblLayout w:type="fixed"/>
        <w:tblLook w:val="06A0" w:firstRow="1" w:lastRow="0" w:firstColumn="1" w:lastColumn="0" w:noHBand="1" w:noVBand="1"/>
      </w:tblPr>
      <w:tblGrid>
        <w:gridCol w:w="1872"/>
        <w:gridCol w:w="1872"/>
        <w:gridCol w:w="1872"/>
      </w:tblGrid>
      <w:tr w:rsidR="00955F1F" w:rsidTr="00E239BC">
        <w:tc>
          <w:tcPr>
            <w:tcW w:w="1872" w:type="dxa"/>
          </w:tcPr>
          <w:p w:rsidR="00955F1F" w:rsidRDefault="00955F1F" w:rsidP="00E239BC"/>
        </w:tc>
        <w:tc>
          <w:tcPr>
            <w:tcW w:w="1872" w:type="dxa"/>
          </w:tcPr>
          <w:p w:rsidR="00955F1F" w:rsidRDefault="00955F1F" w:rsidP="00E239BC">
            <w:r w:rsidRPr="757E4543">
              <w:t xml:space="preserve">MADC2 </w:t>
            </w:r>
          </w:p>
          <w:p w:rsidR="00955F1F" w:rsidRDefault="00955F1F" w:rsidP="00E239BC">
            <w:r w:rsidRPr="1727418A">
              <w:t>Target Cq</w:t>
            </w:r>
          </w:p>
        </w:tc>
        <w:tc>
          <w:tcPr>
            <w:tcW w:w="1872" w:type="dxa"/>
          </w:tcPr>
          <w:p w:rsidR="00955F1F" w:rsidRDefault="00955F1F" w:rsidP="00E239BC">
            <w:r w:rsidRPr="4B625B3C">
              <w:t xml:space="preserve">Cannabinoid </w:t>
            </w:r>
            <w:r w:rsidRPr="4DA5D464">
              <w:t>Synthase</w:t>
            </w:r>
            <w:r w:rsidRPr="3388478B">
              <w:t xml:space="preserve"> </w:t>
            </w:r>
          </w:p>
          <w:p w:rsidR="00955F1F" w:rsidRDefault="00955F1F" w:rsidP="00E239BC">
            <w:r w:rsidRPr="3388478B">
              <w:t>Reference</w:t>
            </w:r>
            <w:r w:rsidRPr="1A2734BD">
              <w:t xml:space="preserve"> </w:t>
            </w:r>
            <w:r w:rsidRPr="3BD03103">
              <w:t>Cq</w:t>
            </w:r>
          </w:p>
        </w:tc>
      </w:tr>
      <w:tr w:rsidR="00955F1F" w:rsidTr="00E239BC">
        <w:tc>
          <w:tcPr>
            <w:tcW w:w="1872" w:type="dxa"/>
          </w:tcPr>
          <w:p w:rsidR="00955F1F" w:rsidRDefault="00955F1F" w:rsidP="00E239BC">
            <w:r w:rsidRPr="4EA93E97">
              <w:lastRenderedPageBreak/>
              <w:t xml:space="preserve">Average </w:t>
            </w:r>
            <w:r w:rsidRPr="757E4543">
              <w:t>Cq Value</w:t>
            </w:r>
          </w:p>
        </w:tc>
        <w:tc>
          <w:tcPr>
            <w:tcW w:w="1872" w:type="dxa"/>
          </w:tcPr>
          <w:p w:rsidR="00955F1F" w:rsidRDefault="00955F1F" w:rsidP="00E239BC">
            <w:r w:rsidRPr="01CCB44B">
              <w:t>24.222</w:t>
            </w:r>
          </w:p>
        </w:tc>
        <w:tc>
          <w:tcPr>
            <w:tcW w:w="1872" w:type="dxa"/>
          </w:tcPr>
          <w:p w:rsidR="00955F1F" w:rsidRDefault="00955F1F" w:rsidP="00E239BC">
            <w:r w:rsidRPr="1D0BFDB8">
              <w:t>26.</w:t>
            </w:r>
            <w:r w:rsidRPr="6C3619C1">
              <w:t>979</w:t>
            </w:r>
          </w:p>
        </w:tc>
      </w:tr>
      <w:tr w:rsidR="00955F1F" w:rsidTr="00E239BC">
        <w:tc>
          <w:tcPr>
            <w:tcW w:w="1872" w:type="dxa"/>
          </w:tcPr>
          <w:p w:rsidR="00955F1F" w:rsidRDefault="00955F1F" w:rsidP="00E239BC">
            <w:r w:rsidRPr="47941AB4">
              <w:t>Population Std Dev</w:t>
            </w:r>
          </w:p>
        </w:tc>
        <w:tc>
          <w:tcPr>
            <w:tcW w:w="1872" w:type="dxa"/>
          </w:tcPr>
          <w:p w:rsidR="00955F1F" w:rsidRDefault="00955F1F" w:rsidP="00E239BC">
            <w:r w:rsidRPr="01CCB44B">
              <w:t>3.233</w:t>
            </w:r>
          </w:p>
        </w:tc>
        <w:tc>
          <w:tcPr>
            <w:tcW w:w="1872" w:type="dxa"/>
          </w:tcPr>
          <w:p w:rsidR="00955F1F" w:rsidRDefault="00955F1F" w:rsidP="00E239BC">
            <w:r w:rsidRPr="6C3619C1">
              <w:t>3.170</w:t>
            </w:r>
          </w:p>
        </w:tc>
      </w:tr>
    </w:tbl>
    <w:p w:rsidR="00955F1F" w:rsidRDefault="00955F1F" w:rsidP="00955F1F">
      <w:pPr>
        <w:pStyle w:val="Heading3"/>
      </w:pPr>
      <w:bookmarkStart w:id="0" w:name="_Hlk105509428"/>
      <w:r>
        <w:t xml:space="preserve">Supplemental Table 3: </w:t>
      </w:r>
      <w:bookmarkEnd w:id="0"/>
      <w:r>
        <w:t xml:space="preserve"> </w:t>
      </w:r>
    </w:p>
    <w:p w:rsidR="00955F1F" w:rsidRDefault="00955F1F" w:rsidP="00955F1F">
      <w:r>
        <w:t>Cycle Thresholds/Quotients for MADC2 and the TC Cannabinoid Synthase Positive Control qPCR Primers. The average Cq Value describes the cycle at which a positive detection of the target amplification occurred. The Population standard deviation describes the standard deviation observed in that Cq value when ran on 5047 non-male samples for the MADC2 target and 8200 samples for the positive control.  On analyzing our qPCR results we see an avg. Ct value of 26 with a standard deviation of 3 for our tissue control and MADC2 qPCR assays suggesting they are reproducible and within our acceptable range of median Cq +/- 10 for a specific and reproducible qPCR assay.</w:t>
      </w:r>
    </w:p>
    <w:p w:rsidR="00955F1F" w:rsidRDefault="00955F1F" w:rsidP="00955F1F"/>
    <w:tbl>
      <w:tblPr>
        <w:tblStyle w:val="TableGrid"/>
        <w:tblW w:w="9350" w:type="dxa"/>
        <w:tblLook w:val="04A0" w:firstRow="1" w:lastRow="0" w:firstColumn="1" w:lastColumn="0" w:noHBand="0" w:noVBand="1"/>
      </w:tblPr>
      <w:tblGrid>
        <w:gridCol w:w="2337"/>
        <w:gridCol w:w="2337"/>
        <w:gridCol w:w="2338"/>
        <w:gridCol w:w="2338"/>
      </w:tblGrid>
      <w:tr w:rsidR="00955F1F" w:rsidRPr="00FC3C08" w:rsidTr="00E239BC">
        <w:trPr>
          <w:trHeight w:val="285"/>
        </w:trPr>
        <w:tc>
          <w:tcPr>
            <w:tcW w:w="2337" w:type="dxa"/>
            <w:noWrap/>
          </w:tcPr>
          <w:p w:rsidR="00955F1F" w:rsidRPr="00FC3C08" w:rsidRDefault="00955F1F" w:rsidP="00E239BC">
            <w:pPr>
              <w:spacing w:line="240" w:lineRule="auto"/>
              <w:jc w:val="center"/>
              <w:rPr>
                <w:rFonts w:eastAsia="Times New Roman"/>
                <w:color w:val="000000"/>
                <w:sz w:val="22"/>
                <w:szCs w:val="22"/>
                <w:lang w:val="en-US"/>
              </w:rPr>
            </w:pPr>
            <w:r>
              <w:rPr>
                <w:b/>
                <w:bCs/>
                <w:color w:val="000000"/>
                <w:sz w:val="22"/>
                <w:szCs w:val="22"/>
              </w:rPr>
              <w:t>Validation Sample ID</w:t>
            </w:r>
          </w:p>
        </w:tc>
        <w:tc>
          <w:tcPr>
            <w:tcW w:w="2337" w:type="dxa"/>
            <w:noWrap/>
            <w:vAlign w:val="center"/>
          </w:tcPr>
          <w:p w:rsidR="00955F1F" w:rsidRPr="00FC3C08" w:rsidRDefault="00955F1F" w:rsidP="00E239BC">
            <w:pPr>
              <w:spacing w:line="240" w:lineRule="auto"/>
              <w:jc w:val="center"/>
              <w:rPr>
                <w:rFonts w:eastAsia="Times New Roman"/>
                <w:color w:val="000000"/>
                <w:sz w:val="22"/>
                <w:szCs w:val="22"/>
                <w:lang w:val="en-US"/>
              </w:rPr>
            </w:pPr>
            <w:r>
              <w:rPr>
                <w:b/>
                <w:bCs/>
                <w:color w:val="000000"/>
                <w:sz w:val="22"/>
                <w:szCs w:val="22"/>
              </w:rPr>
              <w:t>TC Universal Cannabinoid Gene Control qPCR Result (+\-)</w:t>
            </w:r>
          </w:p>
        </w:tc>
        <w:tc>
          <w:tcPr>
            <w:tcW w:w="2338" w:type="dxa"/>
            <w:noWrap/>
            <w:vAlign w:val="center"/>
          </w:tcPr>
          <w:p w:rsidR="00955F1F" w:rsidRPr="00FC3C08" w:rsidRDefault="00955F1F" w:rsidP="00E239BC">
            <w:pPr>
              <w:spacing w:line="240" w:lineRule="auto"/>
              <w:jc w:val="center"/>
              <w:rPr>
                <w:rFonts w:eastAsia="Times New Roman"/>
                <w:color w:val="000000"/>
                <w:sz w:val="22"/>
                <w:szCs w:val="22"/>
                <w:lang w:val="en-US"/>
              </w:rPr>
            </w:pPr>
            <w:r>
              <w:rPr>
                <w:b/>
                <w:bCs/>
                <w:color w:val="000000"/>
                <w:sz w:val="22"/>
                <w:szCs w:val="22"/>
              </w:rPr>
              <w:t>MADC2 qPCR Result (+\-)</w:t>
            </w:r>
          </w:p>
        </w:tc>
        <w:tc>
          <w:tcPr>
            <w:tcW w:w="2338" w:type="dxa"/>
            <w:noWrap/>
            <w:vAlign w:val="center"/>
          </w:tcPr>
          <w:p w:rsidR="00955F1F" w:rsidRPr="00FC3C08" w:rsidRDefault="00955F1F" w:rsidP="00E239BC">
            <w:pPr>
              <w:spacing w:line="240" w:lineRule="auto"/>
              <w:jc w:val="center"/>
              <w:rPr>
                <w:rFonts w:eastAsia="Times New Roman"/>
                <w:color w:val="000000"/>
                <w:sz w:val="22"/>
                <w:szCs w:val="22"/>
                <w:lang w:val="en-US"/>
              </w:rPr>
            </w:pPr>
            <w:r>
              <w:rPr>
                <w:b/>
                <w:bCs/>
                <w:color w:val="000000"/>
                <w:sz w:val="22"/>
                <w:szCs w:val="22"/>
              </w:rPr>
              <w:t>Observed Phenotype and Recorded Sex</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M1</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Negative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Female</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M2</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Negative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Female</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M3</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Negative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Female</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M4</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Male</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M5</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Negative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Female</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M6</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Negative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Female</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M7</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Male</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M8</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Male</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M9</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Negative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Female</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M10</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Negative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Female</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M11</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Negative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Female</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M12</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Negative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Female</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M13</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Negative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Female</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M14</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Negative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Female</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M15</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Negative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Female</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M16</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Negative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Female</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M17</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Negative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Female</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M18</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Negative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Female</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M19</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Negative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Female</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M20</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Negative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Female</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M21</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Negative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Female</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lastRenderedPageBreak/>
              <w:t>M22</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Positive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Male</w:t>
            </w:r>
          </w:p>
        </w:tc>
      </w:tr>
      <w:tr w:rsidR="00955F1F" w:rsidRPr="00FC3C08" w:rsidTr="00E239BC">
        <w:trPr>
          <w:trHeight w:val="285"/>
        </w:trPr>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Pr>
                <w:rFonts w:eastAsia="Times New Roman"/>
                <w:color w:val="000000"/>
                <w:sz w:val="22"/>
                <w:szCs w:val="22"/>
                <w:lang w:val="en-US"/>
              </w:rPr>
              <w:t>No Template Control</w:t>
            </w:r>
          </w:p>
        </w:tc>
        <w:tc>
          <w:tcPr>
            <w:tcW w:w="2337"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Negative</w:t>
            </w:r>
          </w:p>
        </w:tc>
        <w:tc>
          <w:tcPr>
            <w:tcW w:w="2338" w:type="dxa"/>
            <w:noWrap/>
            <w:hideMark/>
          </w:tcPr>
          <w:p w:rsidR="00955F1F" w:rsidRPr="00FC3C08" w:rsidRDefault="00955F1F" w:rsidP="00E239BC">
            <w:pPr>
              <w:spacing w:line="240" w:lineRule="auto"/>
              <w:jc w:val="center"/>
              <w:rPr>
                <w:rFonts w:eastAsia="Times New Roman"/>
                <w:color w:val="000000"/>
                <w:sz w:val="22"/>
                <w:szCs w:val="22"/>
                <w:lang w:val="en-US"/>
              </w:rPr>
            </w:pPr>
            <w:r w:rsidRPr="00FC3C08">
              <w:rPr>
                <w:rFonts w:eastAsia="Times New Roman"/>
                <w:color w:val="000000"/>
                <w:sz w:val="22"/>
                <w:szCs w:val="22"/>
                <w:lang w:val="en-US"/>
              </w:rPr>
              <w:t>Negative</w:t>
            </w:r>
          </w:p>
        </w:tc>
        <w:tc>
          <w:tcPr>
            <w:tcW w:w="2338" w:type="dxa"/>
            <w:noWrap/>
            <w:hideMark/>
          </w:tcPr>
          <w:p w:rsidR="00955F1F" w:rsidRPr="00FC3C08" w:rsidRDefault="00955F1F" w:rsidP="00E239BC">
            <w:pPr>
              <w:spacing w:line="240" w:lineRule="auto"/>
              <w:jc w:val="center"/>
              <w:rPr>
                <w:rFonts w:ascii="Times New Roman" w:eastAsia="Times New Roman" w:hAnsi="Times New Roman" w:cs="Times New Roman"/>
                <w:lang w:val="en-US"/>
              </w:rPr>
            </w:pPr>
            <w:r>
              <w:rPr>
                <w:rFonts w:ascii="Times New Roman" w:eastAsia="Times New Roman" w:hAnsi="Times New Roman" w:cs="Times New Roman"/>
                <w:lang w:val="en-US"/>
              </w:rPr>
              <w:t>N/A</w:t>
            </w:r>
          </w:p>
        </w:tc>
      </w:tr>
    </w:tbl>
    <w:p w:rsidR="00955F1F" w:rsidRDefault="00955F1F" w:rsidP="00955F1F">
      <w:r w:rsidRPr="00FC3C08">
        <w:t xml:space="preserve">Supplemental Table </w:t>
      </w:r>
      <w:r>
        <w:t>4</w:t>
      </w:r>
      <w:r w:rsidRPr="00FC3C08">
        <w:t>:</w:t>
      </w:r>
    </w:p>
    <w:p w:rsidR="00955F1F" w:rsidRDefault="00955F1F" w:rsidP="00955F1F">
      <w:r>
        <w:t xml:space="preserve">A Validation set of 20 samples (M1-20) with two template controls (M21-22) and a no template control was tested with the SexID qPCR assay as a part of early assay validation. The validation plants were grown from seed, and phenotyped (21). The observed sex phenotype results were recorded and compared against the results obtained by the SexID assay. Plants with a positve MADC2 signal corresponded with plants with an observed male phenotype (staminate bearing flowers). </w:t>
      </w:r>
    </w:p>
    <w:p w:rsidR="00955F1F" w:rsidRDefault="00955F1F" w:rsidP="00955F1F">
      <w:r>
        <w:rPr>
          <w:noProof/>
          <w:lang w:val="en-US"/>
        </w:rPr>
        <w:drawing>
          <wp:inline distT="0" distB="0" distL="0" distR="0" wp14:anchorId="09AE75F7" wp14:editId="04F0385C">
            <wp:extent cx="5943600" cy="3343275"/>
            <wp:effectExtent l="0" t="0" r="0" b="9525"/>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1">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rsidR="00955F1F" w:rsidRDefault="00955F1F" w:rsidP="00955F1F">
      <w:r w:rsidRPr="00FC3C08">
        <w:t xml:space="preserve">Supplemental </w:t>
      </w:r>
      <w:r>
        <w:t>Figure 6</w:t>
      </w:r>
      <w:r w:rsidRPr="00FC3C08">
        <w:t>:</w:t>
      </w:r>
    </w:p>
    <w:p w:rsidR="00955F1F" w:rsidRPr="00160333" w:rsidRDefault="00955F1F" w:rsidP="00955F1F">
      <w:r w:rsidRPr="006546A6">
        <w:t xml:space="preserve">Example </w:t>
      </w:r>
      <w:r>
        <w:t>p</w:t>
      </w:r>
      <w:r w:rsidRPr="006546A6">
        <w:t xml:space="preserve">henotypes of </w:t>
      </w:r>
      <w:r>
        <w:t>representative</w:t>
      </w:r>
      <w:r w:rsidRPr="006546A6">
        <w:t xml:space="preserve"> cannabis plants from the 158 European cultivars germinated, propagated, and tested at the CRAG. A. Male </w:t>
      </w:r>
      <w:r w:rsidRPr="006546A6">
        <w:rPr>
          <w:i/>
          <w:iCs/>
        </w:rPr>
        <w:t>Cannabis</w:t>
      </w:r>
      <w:r w:rsidRPr="006546A6">
        <w:t xml:space="preserve"> plant expressing a male sex phenotype of immature staminate bearing flowers. B. </w:t>
      </w:r>
      <w:r w:rsidRPr="00A671FE">
        <w:rPr>
          <w:color w:val="201F1E"/>
          <w:shd w:val="clear" w:color="auto" w:fill="FFFFFF"/>
        </w:rPr>
        <w:t xml:space="preserve">Selected </w:t>
      </w:r>
      <w:r>
        <w:rPr>
          <w:color w:val="201F1E"/>
          <w:shd w:val="clear" w:color="auto" w:fill="FFFFFF"/>
        </w:rPr>
        <w:t xml:space="preserve">female </w:t>
      </w:r>
      <w:r w:rsidRPr="00A671FE">
        <w:rPr>
          <w:color w:val="201F1E"/>
          <w:shd w:val="clear" w:color="auto" w:fill="FFFFFF"/>
        </w:rPr>
        <w:t xml:space="preserve">trial plants </w:t>
      </w:r>
      <w:r>
        <w:rPr>
          <w:color w:val="201F1E"/>
          <w:shd w:val="clear" w:color="auto" w:fill="FFFFFF"/>
        </w:rPr>
        <w:t>grown</w:t>
      </w:r>
      <w:r w:rsidRPr="00A671FE">
        <w:rPr>
          <w:color w:val="201F1E"/>
          <w:shd w:val="clear" w:color="auto" w:fill="FFFFFF"/>
        </w:rPr>
        <w:t xml:space="preserve"> in greenhouse post sex testing.</w:t>
      </w:r>
      <w:r w:rsidRPr="006546A6">
        <w:t xml:space="preserve"> C. Non male </w:t>
      </w:r>
      <w:r w:rsidRPr="006546A6">
        <w:rPr>
          <w:i/>
          <w:iCs/>
        </w:rPr>
        <w:t xml:space="preserve">Cannabis </w:t>
      </w:r>
      <w:r w:rsidRPr="006546A6">
        <w:t>plant expressing an alternative female sex phenotype of maturing pistallate bearing flowers with partial staminate bearing</w:t>
      </w:r>
      <w:r>
        <w:t xml:space="preserve">. </w:t>
      </w:r>
    </w:p>
    <w:p w:rsidR="008B5700" w:rsidRDefault="008B5700">
      <w:bookmarkStart w:id="1" w:name="_GoBack"/>
      <w:bookmarkEnd w:id="1"/>
    </w:p>
    <w:sectPr w:rsidR="008B570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variable"/>
    <w:sig w:usb0="E50002FF" w:usb1="500079DB" w:usb2="0000001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5F1F"/>
    <w:rsid w:val="005D2750"/>
    <w:rsid w:val="008B5700"/>
    <w:rsid w:val="00955F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55F1F"/>
    <w:pPr>
      <w:spacing w:after="0" w:line="480" w:lineRule="auto"/>
    </w:pPr>
    <w:rPr>
      <w:rFonts w:ascii="Calibri" w:eastAsia="Calibri" w:hAnsi="Calibri" w:cs="Calibri"/>
      <w:sz w:val="20"/>
      <w:szCs w:val="20"/>
      <w:lang w:val="en"/>
    </w:rPr>
  </w:style>
  <w:style w:type="paragraph" w:styleId="Heading1">
    <w:name w:val="heading 1"/>
    <w:basedOn w:val="Normal"/>
    <w:next w:val="Normal"/>
    <w:link w:val="Heading1Char"/>
    <w:uiPriority w:val="9"/>
    <w:qFormat/>
    <w:rsid w:val="00955F1F"/>
    <w:pPr>
      <w:suppressLineNumbers/>
      <w:outlineLvl w:val="0"/>
    </w:pPr>
    <w:rPr>
      <w:rFonts w:ascii="Helvetica Neue" w:eastAsia="Helvetica Neue" w:hAnsi="Helvetica Neue" w:cs="Helvetica Neue"/>
      <w:b/>
      <w:sz w:val="24"/>
      <w:szCs w:val="24"/>
    </w:rPr>
  </w:style>
  <w:style w:type="paragraph" w:styleId="Heading3">
    <w:name w:val="heading 3"/>
    <w:basedOn w:val="Normal"/>
    <w:next w:val="Normal"/>
    <w:link w:val="Heading3Char"/>
    <w:uiPriority w:val="9"/>
    <w:unhideWhenUsed/>
    <w:qFormat/>
    <w:rsid w:val="00955F1F"/>
    <w:pPr>
      <w:outlineLvl w:val="2"/>
    </w:pPr>
    <w:rPr>
      <w:b/>
      <w:bCs/>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55F1F"/>
    <w:rPr>
      <w:rFonts w:ascii="Helvetica Neue" w:eastAsia="Helvetica Neue" w:hAnsi="Helvetica Neue" w:cs="Helvetica Neue"/>
      <w:b/>
      <w:sz w:val="24"/>
      <w:szCs w:val="24"/>
      <w:lang w:val="en"/>
    </w:rPr>
  </w:style>
  <w:style w:type="character" w:customStyle="1" w:styleId="Heading3Char">
    <w:name w:val="Heading 3 Char"/>
    <w:basedOn w:val="DefaultParagraphFont"/>
    <w:link w:val="Heading3"/>
    <w:uiPriority w:val="9"/>
    <w:rsid w:val="00955F1F"/>
    <w:rPr>
      <w:rFonts w:ascii="Calibri" w:eastAsia="Calibri" w:hAnsi="Calibri" w:cs="Calibri"/>
      <w:b/>
      <w:bCs/>
      <w:sz w:val="20"/>
      <w:szCs w:val="20"/>
      <w:u w:val="single"/>
      <w:lang w:val="en"/>
    </w:rPr>
  </w:style>
  <w:style w:type="table" w:styleId="TableGrid">
    <w:name w:val="Table Grid"/>
    <w:basedOn w:val="TableNormal"/>
    <w:uiPriority w:val="59"/>
    <w:rsid w:val="00955F1F"/>
    <w:pPr>
      <w:spacing w:after="0" w:line="240" w:lineRule="auto"/>
    </w:pPr>
    <w:rPr>
      <w:rFonts w:ascii="Arial" w:eastAsia="Arial" w:hAnsi="Arial" w:cs="Arial"/>
      <w:lang w:val="e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955F1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55F1F"/>
    <w:rPr>
      <w:rFonts w:ascii="Tahoma" w:eastAsia="Calibri" w:hAnsi="Tahoma" w:cs="Tahoma"/>
      <w:sz w:val="16"/>
      <w:szCs w:val="16"/>
      <w:lang w:val="e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55F1F"/>
    <w:pPr>
      <w:spacing w:after="0" w:line="480" w:lineRule="auto"/>
    </w:pPr>
    <w:rPr>
      <w:rFonts w:ascii="Calibri" w:eastAsia="Calibri" w:hAnsi="Calibri" w:cs="Calibri"/>
      <w:sz w:val="20"/>
      <w:szCs w:val="20"/>
      <w:lang w:val="en"/>
    </w:rPr>
  </w:style>
  <w:style w:type="paragraph" w:styleId="Heading1">
    <w:name w:val="heading 1"/>
    <w:basedOn w:val="Normal"/>
    <w:next w:val="Normal"/>
    <w:link w:val="Heading1Char"/>
    <w:uiPriority w:val="9"/>
    <w:qFormat/>
    <w:rsid w:val="00955F1F"/>
    <w:pPr>
      <w:suppressLineNumbers/>
      <w:outlineLvl w:val="0"/>
    </w:pPr>
    <w:rPr>
      <w:rFonts w:ascii="Helvetica Neue" w:eastAsia="Helvetica Neue" w:hAnsi="Helvetica Neue" w:cs="Helvetica Neue"/>
      <w:b/>
      <w:sz w:val="24"/>
      <w:szCs w:val="24"/>
    </w:rPr>
  </w:style>
  <w:style w:type="paragraph" w:styleId="Heading3">
    <w:name w:val="heading 3"/>
    <w:basedOn w:val="Normal"/>
    <w:next w:val="Normal"/>
    <w:link w:val="Heading3Char"/>
    <w:uiPriority w:val="9"/>
    <w:unhideWhenUsed/>
    <w:qFormat/>
    <w:rsid w:val="00955F1F"/>
    <w:pPr>
      <w:outlineLvl w:val="2"/>
    </w:pPr>
    <w:rPr>
      <w:b/>
      <w:bCs/>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55F1F"/>
    <w:rPr>
      <w:rFonts w:ascii="Helvetica Neue" w:eastAsia="Helvetica Neue" w:hAnsi="Helvetica Neue" w:cs="Helvetica Neue"/>
      <w:b/>
      <w:sz w:val="24"/>
      <w:szCs w:val="24"/>
      <w:lang w:val="en"/>
    </w:rPr>
  </w:style>
  <w:style w:type="character" w:customStyle="1" w:styleId="Heading3Char">
    <w:name w:val="Heading 3 Char"/>
    <w:basedOn w:val="DefaultParagraphFont"/>
    <w:link w:val="Heading3"/>
    <w:uiPriority w:val="9"/>
    <w:rsid w:val="00955F1F"/>
    <w:rPr>
      <w:rFonts w:ascii="Calibri" w:eastAsia="Calibri" w:hAnsi="Calibri" w:cs="Calibri"/>
      <w:b/>
      <w:bCs/>
      <w:sz w:val="20"/>
      <w:szCs w:val="20"/>
      <w:u w:val="single"/>
      <w:lang w:val="en"/>
    </w:rPr>
  </w:style>
  <w:style w:type="table" w:styleId="TableGrid">
    <w:name w:val="Table Grid"/>
    <w:basedOn w:val="TableNormal"/>
    <w:uiPriority w:val="59"/>
    <w:rsid w:val="00955F1F"/>
    <w:pPr>
      <w:spacing w:after="0" w:line="240" w:lineRule="auto"/>
    </w:pPr>
    <w:rPr>
      <w:rFonts w:ascii="Arial" w:eastAsia="Arial" w:hAnsi="Arial" w:cs="Arial"/>
      <w:lang w:val="e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955F1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55F1F"/>
    <w:rPr>
      <w:rFonts w:ascii="Tahoma" w:eastAsia="Calibri" w:hAnsi="Tahoma" w:cs="Tahoma"/>
      <w:sz w:val="16"/>
      <w:szCs w:val="16"/>
      <w:lang w:val="e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g"/><Relationship Id="rId12"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g"/><Relationship Id="rId5" Type="http://schemas.openxmlformats.org/officeDocument/2006/relationships/image" Target="media/image1.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799</Words>
  <Characters>4559</Characters>
  <Application>Microsoft Office Word</Application>
  <DocSecurity>0</DocSecurity>
  <Lines>37</Lines>
  <Paragraphs>10</Paragraphs>
  <ScaleCrop>false</ScaleCrop>
  <Company/>
  <LinksUpToDate>false</LinksUpToDate>
  <CharactersWithSpaces>5348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MAPACANG</dc:creator>
  <cp:lastModifiedBy>MAPACANG</cp:lastModifiedBy>
  <cp:revision>1</cp:revision>
  <dcterms:created xsi:type="dcterms:W3CDTF">2022-10-22T10:25:00Z</dcterms:created>
  <dcterms:modified xsi:type="dcterms:W3CDTF">2022-10-22T10:25:00Z</dcterms:modified>
</cp:coreProperties>
</file>